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F10DF9" w:rsidRDefault="008F7082" w:rsidP="008D1DB4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F10DF9">
        <w:rPr>
          <w:rFonts w:cs="B Badr" w:hint="cs"/>
          <w:sz w:val="32"/>
          <w:szCs w:val="32"/>
          <w:rtl/>
          <w:lang w:bidi="fa-IR"/>
        </w:rPr>
        <w:t>خارج اصول83</w:t>
      </w:r>
    </w:p>
    <w:p w:rsidR="008F7082" w:rsidRPr="00F10DF9" w:rsidRDefault="008F7082" w:rsidP="008D1DB4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F10DF9">
        <w:rPr>
          <w:rFonts w:cs="B Badr" w:hint="cs"/>
          <w:sz w:val="32"/>
          <w:szCs w:val="32"/>
          <w:rtl/>
          <w:lang w:bidi="fa-IR"/>
        </w:rPr>
        <w:t>یکشنبه*28/ 11/ 97</w:t>
      </w:r>
    </w:p>
    <w:p w:rsidR="008F7082" w:rsidRPr="008D1DB4" w:rsidRDefault="008F7082" w:rsidP="008D1DB4">
      <w:pPr>
        <w:pBdr>
          <w:bottom w:val="single" w:sz="12" w:space="1" w:color="auto"/>
        </w:pBdr>
        <w:bidi/>
        <w:jc w:val="center"/>
        <w:rPr>
          <w:rFonts w:cs="B Badr"/>
          <w:color w:val="FF0000"/>
          <w:sz w:val="32"/>
          <w:szCs w:val="32"/>
          <w:rtl/>
          <w:lang w:bidi="fa-IR"/>
        </w:rPr>
      </w:pPr>
      <w:r w:rsidRPr="008D1DB4">
        <w:rPr>
          <w:rFonts w:cs="B Badr" w:hint="cs"/>
          <w:color w:val="FF0000"/>
          <w:sz w:val="32"/>
          <w:szCs w:val="32"/>
          <w:rtl/>
          <w:lang w:bidi="fa-IR"/>
        </w:rPr>
        <w:t>*بحث إجزاء*</w:t>
      </w:r>
    </w:p>
    <w:p w:rsidR="00F10DF9" w:rsidRPr="008D1DB4" w:rsidRDefault="00F10DF9" w:rsidP="008F7082">
      <w:pPr>
        <w:bidi/>
        <w:rPr>
          <w:rFonts w:cs="B Badr"/>
          <w:color w:val="00B050"/>
          <w:sz w:val="32"/>
          <w:szCs w:val="32"/>
          <w:rtl/>
          <w:lang w:bidi="fa-IR"/>
        </w:rPr>
      </w:pPr>
      <w:r w:rsidRPr="008D1DB4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8F7082" w:rsidRDefault="008F7082" w:rsidP="00F10DF9">
      <w:pPr>
        <w:bidi/>
        <w:rPr>
          <w:rFonts w:cs="B Badr"/>
          <w:sz w:val="32"/>
          <w:szCs w:val="32"/>
          <w:rtl/>
          <w:lang w:bidi="fa-IR"/>
        </w:rPr>
      </w:pPr>
      <w:r w:rsidRPr="00F10DF9">
        <w:rPr>
          <w:rFonts w:cs="B Badr" w:hint="cs"/>
          <w:sz w:val="32"/>
          <w:szCs w:val="32"/>
          <w:rtl/>
          <w:lang w:bidi="fa-IR"/>
        </w:rPr>
        <w:t>لا خير في القول بالجهل</w:t>
      </w:r>
      <w:r w:rsidR="00880BD2">
        <w:rPr>
          <w:rFonts w:cs="B Badr" w:hint="cs"/>
          <w:sz w:val="32"/>
          <w:szCs w:val="32"/>
          <w:rtl/>
          <w:lang w:bidi="fa-IR"/>
        </w:rPr>
        <w:t>.</w:t>
      </w:r>
      <w:r w:rsidR="00F10DF9">
        <w:rPr>
          <w:rStyle w:val="FootnoteReference"/>
          <w:rFonts w:cs="B Badr"/>
          <w:sz w:val="32"/>
          <w:szCs w:val="32"/>
          <w:rtl/>
          <w:lang w:bidi="fa-IR"/>
        </w:rPr>
        <w:footnoteReference w:id="1"/>
      </w:r>
    </w:p>
    <w:p w:rsidR="00880BD2" w:rsidRDefault="00880BD2" w:rsidP="00880BD2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سخن جاهلانه، بی فائده است و در کلام</w:t>
      </w:r>
      <w:r w:rsidR="00ED52D8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مبتنی</w:t>
      </w:r>
      <w:r w:rsidR="00ED52D8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بر جهل، خیری نیست.</w:t>
      </w:r>
    </w:p>
    <w:p w:rsidR="00880BD2" w:rsidRPr="008D1DB4" w:rsidRDefault="00880BD2" w:rsidP="008D1DB4">
      <w:pPr>
        <w:bidi/>
        <w:jc w:val="center"/>
        <w:rPr>
          <w:rFonts w:cs="B Badr"/>
          <w:color w:val="00B050"/>
          <w:sz w:val="32"/>
          <w:szCs w:val="32"/>
          <w:rtl/>
          <w:lang w:bidi="fa-IR"/>
        </w:rPr>
      </w:pPr>
      <w:r w:rsidRPr="008D1DB4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880BD2" w:rsidRDefault="00880BD2" w:rsidP="00880BD2">
      <w:pPr>
        <w:bidi/>
        <w:rPr>
          <w:rFonts w:cs="B Badr"/>
          <w:sz w:val="32"/>
          <w:szCs w:val="32"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کلام در ملاک حجیت امارات بود. فرمایش شهید صدر گفته شد.</w:t>
      </w:r>
    </w:p>
    <w:p w:rsidR="007F6ACF" w:rsidRPr="00CB4334" w:rsidRDefault="007F6ACF" w:rsidP="007F6ACF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CB4334">
        <w:rPr>
          <w:rFonts w:cs="B Badr" w:hint="cs"/>
          <w:color w:val="0070C0"/>
          <w:sz w:val="32"/>
          <w:szCs w:val="32"/>
          <w:rtl/>
          <w:lang w:bidi="fa-IR"/>
        </w:rPr>
        <w:t>محقق عراقی</w:t>
      </w:r>
      <w:r w:rsidR="00502FF3">
        <w:rPr>
          <w:rStyle w:val="FootnoteReference"/>
          <w:rFonts w:cs="B Badr"/>
          <w:color w:val="0070C0"/>
          <w:sz w:val="32"/>
          <w:szCs w:val="32"/>
          <w:rtl/>
          <w:lang w:bidi="fa-IR"/>
        </w:rPr>
        <w:footnoteReference w:id="2"/>
      </w:r>
    </w:p>
    <w:p w:rsidR="007F6ACF" w:rsidRDefault="007F6ACF" w:rsidP="00502FF3">
      <w:pPr>
        <w:bidi/>
        <w:rPr>
          <w:rFonts w:cs="B Badr"/>
          <w:sz w:val="32"/>
          <w:szCs w:val="32"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مثبتات امارات</w:t>
      </w:r>
      <w:r w:rsidR="00CB4334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حجت اند ولی مثبتات اصول</w:t>
      </w:r>
      <w:r w:rsidR="00CB4334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حجت نیستند؛ والوجه فیه: امارات، حکایاتی از مؤدی هستند و هر اماره ای چون حاکیِ از مؤدای خویش است، بالملازمه حاکیِ از لوازم و ملزومات آن نیز هست؛ با این بیان، تنزیل اماره نازل منزله ی علم، معنا پیدا می کند، مثلا اماره ای که دلالت بر وجوب سوره در نماز دارد</w:t>
      </w:r>
      <w:r w:rsidR="002345C4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بالملازمه </w:t>
      </w:r>
      <w:r w:rsidR="00761FF3">
        <w:rPr>
          <w:rFonts w:cs="B Badr" w:hint="cs"/>
          <w:sz w:val="32"/>
          <w:szCs w:val="32"/>
          <w:rtl/>
          <w:lang w:bidi="fa-IR"/>
        </w:rPr>
        <w:t>حکایت</w:t>
      </w:r>
      <w:r>
        <w:rPr>
          <w:rFonts w:cs="B Badr" w:hint="cs"/>
          <w:sz w:val="32"/>
          <w:szCs w:val="32"/>
          <w:rtl/>
          <w:lang w:bidi="fa-IR"/>
        </w:rPr>
        <w:t xml:space="preserve"> از جزئیت سوره و منتقی شدن نماز با فقدان سوره</w:t>
      </w:r>
      <w:r w:rsidR="00761FF3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دارد</w:t>
      </w:r>
      <w:r w:rsidR="00761FF3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بخلاف ا</w:t>
      </w:r>
      <w:r w:rsidR="00257C43">
        <w:rPr>
          <w:rFonts w:cs="B Badr" w:hint="cs"/>
          <w:sz w:val="32"/>
          <w:szCs w:val="32"/>
          <w:rtl/>
          <w:lang w:bidi="fa-IR"/>
        </w:rPr>
        <w:t>صول که چنین حکایت گری ای ندارند؛ و شارع</w:t>
      </w:r>
      <w:r w:rsidR="00761FF3">
        <w:rPr>
          <w:rFonts w:cs="B Badr" w:hint="cs"/>
          <w:sz w:val="32"/>
          <w:szCs w:val="32"/>
          <w:rtl/>
          <w:lang w:bidi="fa-IR"/>
        </w:rPr>
        <w:t>،</w:t>
      </w:r>
      <w:r w:rsidR="00257C43">
        <w:rPr>
          <w:rFonts w:cs="B Badr" w:hint="cs"/>
          <w:sz w:val="32"/>
          <w:szCs w:val="32"/>
          <w:rtl/>
          <w:lang w:bidi="fa-IR"/>
        </w:rPr>
        <w:t xml:space="preserve"> اصول را فقط با نظر به مؤدی معتبر دانسته است</w:t>
      </w:r>
      <w:r w:rsidR="00761FF3">
        <w:rPr>
          <w:rFonts w:cs="B Badr" w:hint="cs"/>
          <w:sz w:val="32"/>
          <w:szCs w:val="32"/>
          <w:rtl/>
          <w:lang w:bidi="fa-IR"/>
        </w:rPr>
        <w:t>؛</w:t>
      </w:r>
      <w:r w:rsidR="00257C43">
        <w:rPr>
          <w:rFonts w:cs="B Badr" w:hint="cs"/>
          <w:sz w:val="32"/>
          <w:szCs w:val="32"/>
          <w:rtl/>
          <w:lang w:bidi="fa-IR"/>
        </w:rPr>
        <w:t xml:space="preserve"> بطوریکه با تحقق مؤدی تعبدا</w:t>
      </w:r>
      <w:r w:rsidR="00761FF3">
        <w:rPr>
          <w:rFonts w:cs="B Badr" w:hint="cs"/>
          <w:sz w:val="32"/>
          <w:szCs w:val="32"/>
          <w:rtl/>
          <w:lang w:bidi="fa-IR"/>
        </w:rPr>
        <w:t>ً</w:t>
      </w:r>
      <w:r w:rsidR="00257C43">
        <w:rPr>
          <w:rFonts w:cs="B Badr" w:hint="cs"/>
          <w:sz w:val="32"/>
          <w:szCs w:val="32"/>
          <w:rtl/>
          <w:lang w:bidi="fa-IR"/>
        </w:rPr>
        <w:t>، هیچ لازمی از لوازم عقلی و عادی</w:t>
      </w:r>
      <w:r w:rsidR="00761FF3">
        <w:rPr>
          <w:rFonts w:cs="B Badr" w:hint="cs"/>
          <w:sz w:val="32"/>
          <w:szCs w:val="32"/>
          <w:rtl/>
          <w:lang w:bidi="fa-IR"/>
        </w:rPr>
        <w:t>، موردِ</w:t>
      </w:r>
      <w:r w:rsidR="007D66EB">
        <w:rPr>
          <w:rFonts w:cs="B Badr"/>
          <w:sz w:val="32"/>
          <w:szCs w:val="32"/>
          <w:lang w:bidi="fa-IR"/>
        </w:rPr>
        <w:t xml:space="preserve"> </w:t>
      </w:r>
      <w:r w:rsidR="00257C43">
        <w:rPr>
          <w:rFonts w:cs="B Badr" w:hint="cs"/>
          <w:sz w:val="32"/>
          <w:szCs w:val="32"/>
          <w:rtl/>
          <w:lang w:bidi="fa-IR"/>
        </w:rPr>
        <w:t>تعب</w:t>
      </w:r>
      <w:r w:rsidR="00761FF3">
        <w:rPr>
          <w:rFonts w:cs="B Badr" w:hint="cs"/>
          <w:sz w:val="32"/>
          <w:szCs w:val="32"/>
          <w:rtl/>
          <w:lang w:bidi="fa-IR"/>
        </w:rPr>
        <w:t>ّ</w:t>
      </w:r>
      <w:r w:rsidR="00257C43">
        <w:rPr>
          <w:rFonts w:cs="B Badr" w:hint="cs"/>
          <w:sz w:val="32"/>
          <w:szCs w:val="32"/>
          <w:rtl/>
          <w:lang w:bidi="fa-IR"/>
        </w:rPr>
        <w:t>د</w:t>
      </w:r>
      <w:r w:rsidR="00761FF3">
        <w:rPr>
          <w:rFonts w:cs="B Badr" w:hint="cs"/>
          <w:sz w:val="32"/>
          <w:szCs w:val="32"/>
          <w:rtl/>
          <w:lang w:bidi="fa-IR"/>
        </w:rPr>
        <w:t>ِ</w:t>
      </w:r>
      <w:r w:rsidR="00257C43">
        <w:rPr>
          <w:rFonts w:cs="B Badr" w:hint="cs"/>
          <w:sz w:val="32"/>
          <w:szCs w:val="32"/>
          <w:rtl/>
          <w:lang w:bidi="fa-IR"/>
        </w:rPr>
        <w:t xml:space="preserve"> شارع قرار نمی گیرد</w:t>
      </w:r>
      <w:r w:rsidR="00761FF3">
        <w:rPr>
          <w:rFonts w:cs="B Badr" w:hint="cs"/>
          <w:sz w:val="32"/>
          <w:szCs w:val="32"/>
          <w:rtl/>
          <w:lang w:bidi="fa-IR"/>
        </w:rPr>
        <w:t>؛</w:t>
      </w:r>
      <w:r w:rsidR="00257C43">
        <w:rPr>
          <w:rFonts w:cs="B Badr" w:hint="cs"/>
          <w:sz w:val="32"/>
          <w:szCs w:val="32"/>
          <w:rtl/>
          <w:lang w:bidi="fa-IR"/>
        </w:rPr>
        <w:t xml:space="preserve"> لذا در استصحاب</w:t>
      </w:r>
      <w:r w:rsidR="00761FF3">
        <w:rPr>
          <w:rFonts w:cs="B Badr" w:hint="cs"/>
          <w:sz w:val="32"/>
          <w:szCs w:val="32"/>
          <w:rtl/>
          <w:lang w:bidi="fa-IR"/>
        </w:rPr>
        <w:t>ِ</w:t>
      </w:r>
      <w:r w:rsidR="00257C43">
        <w:rPr>
          <w:rFonts w:cs="B Badr" w:hint="cs"/>
          <w:sz w:val="32"/>
          <w:szCs w:val="32"/>
          <w:rtl/>
          <w:lang w:bidi="fa-IR"/>
        </w:rPr>
        <w:t xml:space="preserve"> حیات زید، عنوان</w:t>
      </w:r>
      <w:r w:rsidR="00761FF3">
        <w:rPr>
          <w:rFonts w:cs="B Badr" w:hint="cs"/>
          <w:sz w:val="32"/>
          <w:szCs w:val="32"/>
          <w:rtl/>
          <w:lang w:bidi="fa-IR"/>
        </w:rPr>
        <w:t>ِ</w:t>
      </w:r>
      <w:r w:rsidR="00257C43">
        <w:rPr>
          <w:rFonts w:cs="B Badr" w:hint="cs"/>
          <w:sz w:val="32"/>
          <w:szCs w:val="32"/>
          <w:rtl/>
          <w:lang w:bidi="fa-IR"/>
        </w:rPr>
        <w:t xml:space="preserve"> متیقن با قطع نظر از هر لازم و ملزومی تعبدا</w:t>
      </w:r>
      <w:r w:rsidR="00761FF3">
        <w:rPr>
          <w:rFonts w:cs="B Badr" w:hint="cs"/>
          <w:sz w:val="32"/>
          <w:szCs w:val="32"/>
          <w:rtl/>
          <w:lang w:bidi="fa-IR"/>
        </w:rPr>
        <w:t>،</w:t>
      </w:r>
      <w:r w:rsidR="00257C43">
        <w:rPr>
          <w:rFonts w:cs="B Badr" w:hint="cs"/>
          <w:sz w:val="32"/>
          <w:szCs w:val="32"/>
          <w:rtl/>
          <w:lang w:bidi="fa-IR"/>
        </w:rPr>
        <w:t xml:space="preserve"> در زمان لاحق، اثر شرعی دارد.</w:t>
      </w:r>
    </w:p>
    <w:p w:rsidR="00FE2828" w:rsidRDefault="00FE2828" w:rsidP="00FE2828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بعداز بیان کلمات فقها، به این نتیجه می رسیم که کلام صاحب کفایه می تواند جامع</w:t>
      </w:r>
      <w:r w:rsidR="00761FF3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تمام</w:t>
      </w:r>
      <w:r w:rsidR="00761FF3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این فرمایشات باشد. می فرماید:</w:t>
      </w:r>
    </w:p>
    <w:p w:rsidR="00FE2828" w:rsidRDefault="00B751CD" w:rsidP="00F97472">
      <w:pPr>
        <w:bidi/>
        <w:rPr>
          <w:rFonts w:cs="B Badr" w:hint="cs"/>
          <w:sz w:val="32"/>
          <w:szCs w:val="32"/>
          <w:rtl/>
          <w:lang w:bidi="fa-IR"/>
        </w:rPr>
      </w:pPr>
      <w:r w:rsidRPr="00B751CD">
        <w:rPr>
          <w:rFonts w:cs="B Badr" w:hint="cs"/>
          <w:sz w:val="32"/>
          <w:szCs w:val="32"/>
          <w:rtl/>
          <w:lang w:bidi="fa-IR"/>
        </w:rPr>
        <w:t>ثمّ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لا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يخفى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وضوح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الفرق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بين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الاستصحاب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و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سائر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الاصول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التعبّديّة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و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بين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الطرق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و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الأمارات،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فإنّ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الطريق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و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الأمارة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حيث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إنّه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كما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يحكي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عن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المؤدّى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و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يشير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إليه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كذا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يحكي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عن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أطرافه</w:t>
      </w:r>
      <w:r w:rsidRPr="00B751CD">
        <w:rPr>
          <w:rFonts w:cs="B Badr"/>
          <w:sz w:val="32"/>
          <w:szCs w:val="32"/>
          <w:rtl/>
          <w:lang w:bidi="fa-IR"/>
        </w:rPr>
        <w:t xml:space="preserve">- </w:t>
      </w:r>
      <w:r w:rsidRPr="00B751CD">
        <w:rPr>
          <w:rFonts w:cs="B Badr" w:hint="cs"/>
          <w:sz w:val="32"/>
          <w:szCs w:val="32"/>
          <w:rtl/>
          <w:lang w:bidi="fa-IR"/>
        </w:rPr>
        <w:t>من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ملزومه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lastRenderedPageBreak/>
        <w:t>و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لوازمه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و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ملازماته</w:t>
      </w:r>
      <w:r w:rsidRPr="00B751CD">
        <w:rPr>
          <w:rFonts w:cs="B Badr"/>
          <w:sz w:val="32"/>
          <w:szCs w:val="32"/>
          <w:rtl/>
          <w:lang w:bidi="fa-IR"/>
        </w:rPr>
        <w:t xml:space="preserve">- </w:t>
      </w:r>
      <w:r w:rsidRPr="00B751CD">
        <w:rPr>
          <w:rFonts w:cs="B Badr" w:hint="cs"/>
          <w:sz w:val="32"/>
          <w:szCs w:val="32"/>
          <w:rtl/>
          <w:lang w:bidi="fa-IR"/>
        </w:rPr>
        <w:t>و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يشير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إليها،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كان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مقتضى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إطلاق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دليل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اعتبارها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لزوم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تصديقها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في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حكايتها،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و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قضيّته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حجّيّة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المثبت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منها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كما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لا</w:t>
      </w:r>
      <w:r w:rsidRPr="00B751CD">
        <w:rPr>
          <w:rFonts w:cs="B Badr"/>
          <w:sz w:val="32"/>
          <w:szCs w:val="32"/>
          <w:rtl/>
          <w:lang w:bidi="fa-IR"/>
        </w:rPr>
        <w:t xml:space="preserve"> </w:t>
      </w:r>
      <w:r w:rsidRPr="00B751CD">
        <w:rPr>
          <w:rFonts w:cs="B Badr" w:hint="cs"/>
          <w:sz w:val="32"/>
          <w:szCs w:val="32"/>
          <w:rtl/>
          <w:lang w:bidi="fa-IR"/>
        </w:rPr>
        <w:t>يخفى</w:t>
      </w:r>
      <w:r w:rsidR="009C3297">
        <w:rPr>
          <w:rFonts w:cs="B Badr" w:hint="cs"/>
          <w:sz w:val="32"/>
          <w:szCs w:val="32"/>
          <w:rtl/>
          <w:lang w:bidi="fa-IR"/>
        </w:rPr>
        <w:t>.</w:t>
      </w:r>
      <w:r w:rsidR="00F97472">
        <w:rPr>
          <w:rStyle w:val="FootnoteReference"/>
          <w:rFonts w:cs="B Badr"/>
          <w:sz w:val="32"/>
          <w:szCs w:val="32"/>
          <w:rtl/>
          <w:lang w:bidi="fa-IR"/>
        </w:rPr>
        <w:footnoteReference w:id="3"/>
      </w:r>
    </w:p>
    <w:p w:rsidR="00DD6E4F" w:rsidRDefault="002173C9" w:rsidP="009C1C69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این بیان، دو جهت اماره را توضیح می دهد و مختار ما در این مبحث، ترکیبی است از این کلام آخوند و کلام سیدنا ال</w:t>
      </w:r>
      <w:r w:rsidR="009C1C69">
        <w:rPr>
          <w:rFonts w:cs="B Badr" w:hint="cs"/>
          <w:sz w:val="32"/>
          <w:szCs w:val="32"/>
          <w:rtl/>
          <w:lang w:bidi="fa-IR"/>
        </w:rPr>
        <w:t xml:space="preserve">امام و شهید صدر؛ </w:t>
      </w:r>
      <w:r w:rsidR="00DD6E4F">
        <w:rPr>
          <w:rFonts w:cs="B Badr" w:hint="cs"/>
          <w:sz w:val="32"/>
          <w:szCs w:val="32"/>
          <w:rtl/>
          <w:lang w:bidi="fa-IR"/>
        </w:rPr>
        <w:t>توضیح مختار</w:t>
      </w:r>
      <w:r w:rsidR="009C1C69">
        <w:rPr>
          <w:rFonts w:cs="B Badr" w:hint="cs"/>
          <w:sz w:val="32"/>
          <w:szCs w:val="32"/>
          <w:rtl/>
          <w:lang w:bidi="fa-IR"/>
        </w:rPr>
        <w:t>،</w:t>
      </w:r>
      <w:r w:rsidR="00DD6E4F">
        <w:rPr>
          <w:rFonts w:cs="B Badr" w:hint="cs"/>
          <w:sz w:val="32"/>
          <w:szCs w:val="32"/>
          <w:rtl/>
          <w:lang w:bidi="fa-IR"/>
        </w:rPr>
        <w:t xml:space="preserve"> توقف دارد بر بیان دو جهت: </w:t>
      </w:r>
      <w:r w:rsidR="009C1C69">
        <w:rPr>
          <w:rFonts w:cs="B Badr" w:hint="cs"/>
          <w:sz w:val="32"/>
          <w:szCs w:val="32"/>
          <w:rtl/>
          <w:lang w:bidi="fa-IR"/>
        </w:rPr>
        <w:t>«</w:t>
      </w:r>
      <w:r w:rsidR="00DD6E4F">
        <w:rPr>
          <w:rFonts w:cs="B Badr" w:hint="cs"/>
          <w:sz w:val="32"/>
          <w:szCs w:val="32"/>
          <w:rtl/>
          <w:lang w:bidi="fa-IR"/>
        </w:rPr>
        <w:t>اماره در عالم ثبوت</w:t>
      </w:r>
      <w:r w:rsidR="009C1C69">
        <w:rPr>
          <w:rFonts w:cs="B Badr" w:hint="cs"/>
          <w:sz w:val="32"/>
          <w:szCs w:val="32"/>
          <w:rtl/>
          <w:lang w:bidi="fa-IR"/>
        </w:rPr>
        <w:t>»</w:t>
      </w:r>
      <w:r w:rsidR="00DD6E4F">
        <w:rPr>
          <w:rFonts w:cs="B Badr" w:hint="cs"/>
          <w:sz w:val="32"/>
          <w:szCs w:val="32"/>
          <w:rtl/>
          <w:lang w:bidi="fa-IR"/>
        </w:rPr>
        <w:t xml:space="preserve"> و </w:t>
      </w:r>
      <w:r w:rsidR="009C1C69">
        <w:rPr>
          <w:rFonts w:cs="B Badr" w:hint="cs"/>
          <w:sz w:val="32"/>
          <w:szCs w:val="32"/>
          <w:rtl/>
          <w:lang w:bidi="fa-IR"/>
        </w:rPr>
        <w:t>«</w:t>
      </w:r>
      <w:r w:rsidR="00DD6E4F">
        <w:rPr>
          <w:rFonts w:cs="B Badr" w:hint="cs"/>
          <w:sz w:val="32"/>
          <w:szCs w:val="32"/>
          <w:rtl/>
          <w:lang w:bidi="fa-IR"/>
        </w:rPr>
        <w:t>اماره در عالم اثبات</w:t>
      </w:r>
      <w:r w:rsidR="009C1C69">
        <w:rPr>
          <w:rFonts w:cs="B Badr" w:hint="cs"/>
          <w:sz w:val="32"/>
          <w:szCs w:val="32"/>
          <w:rtl/>
          <w:lang w:bidi="fa-IR"/>
        </w:rPr>
        <w:t>».</w:t>
      </w:r>
    </w:p>
    <w:p w:rsidR="00DD6E4F" w:rsidRPr="009C1C69" w:rsidRDefault="00DD6E4F" w:rsidP="00DD6E4F">
      <w:pPr>
        <w:bidi/>
        <w:rPr>
          <w:rFonts w:cs="B Badr" w:hint="cs"/>
          <w:color w:val="0070C0"/>
          <w:sz w:val="32"/>
          <w:szCs w:val="32"/>
          <w:rtl/>
          <w:lang w:bidi="fa-IR"/>
        </w:rPr>
      </w:pPr>
      <w:r w:rsidRPr="009C1C69">
        <w:rPr>
          <w:rFonts w:cs="B Badr" w:hint="cs"/>
          <w:color w:val="0070C0"/>
          <w:sz w:val="32"/>
          <w:szCs w:val="32"/>
          <w:rtl/>
          <w:lang w:bidi="fa-IR"/>
        </w:rPr>
        <w:t>اما جهت اول</w:t>
      </w:r>
    </w:p>
    <w:p w:rsidR="00DD6E4F" w:rsidRDefault="00DD6E4F" w:rsidP="0081734C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اماره، ثبوتا</w:t>
      </w:r>
      <w:r w:rsidR="00061A02">
        <w:rPr>
          <w:rFonts w:cs="B Badr" w:hint="cs"/>
          <w:sz w:val="32"/>
          <w:szCs w:val="32"/>
          <w:rtl/>
          <w:lang w:bidi="fa-IR"/>
        </w:rPr>
        <w:t>ً</w:t>
      </w:r>
      <w:r>
        <w:rPr>
          <w:rFonts w:cs="B Badr" w:hint="cs"/>
          <w:sz w:val="32"/>
          <w:szCs w:val="32"/>
          <w:rtl/>
          <w:lang w:bidi="fa-IR"/>
        </w:rPr>
        <w:t xml:space="preserve"> کاشف از واقع است و این کاشفیت</w:t>
      </w:r>
      <w:r w:rsidR="00061A02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کشف از شیئ و متعلقات آن می باشد</w:t>
      </w:r>
      <w:r w:rsidR="00061A02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و هیچ تعبدی در ماهیت</w:t>
      </w:r>
      <w:r w:rsidR="00061A02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اماره وجود ندارد</w:t>
      </w:r>
      <w:r w:rsidR="00061A02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بلکه واقعیت</w:t>
      </w:r>
      <w:r w:rsidR="00061A02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اماره</w:t>
      </w:r>
      <w:r w:rsidR="00061A02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بر پایه ی بناء عقلا و امر عقلی استوار است</w:t>
      </w:r>
      <w:r w:rsidR="00061A02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بطوریکه در نظر عقلا</w:t>
      </w:r>
      <w:r w:rsidR="00061A02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احتمال و رجحان</w:t>
      </w:r>
      <w:r w:rsidR="00061A02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متعلق</w:t>
      </w:r>
      <w:r w:rsidR="00061A02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اماره</w:t>
      </w:r>
      <w:r w:rsidR="00061A02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اساس و پایه ی اعتبار آن است و بخاطر اهمیت احتمال، اماره کاشفیت دارد</w:t>
      </w:r>
      <w:r w:rsidR="00061A02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و این احتمال</w:t>
      </w:r>
      <w:r w:rsidR="00061A02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سرّ</w:t>
      </w:r>
      <w:r w:rsidR="00061A02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توجه </w:t>
      </w:r>
      <w:r w:rsidR="00061A02">
        <w:rPr>
          <w:rFonts w:cs="B Badr" w:hint="cs"/>
          <w:sz w:val="32"/>
          <w:szCs w:val="32"/>
          <w:rtl/>
          <w:lang w:bidi="fa-IR"/>
        </w:rPr>
        <w:t>عقلا به مؤدای اماره و لوازم و مل</w:t>
      </w:r>
      <w:r>
        <w:rPr>
          <w:rFonts w:cs="B Badr" w:hint="cs"/>
          <w:sz w:val="32"/>
          <w:szCs w:val="32"/>
          <w:rtl/>
          <w:lang w:bidi="fa-IR"/>
        </w:rPr>
        <w:t>زومات آن می باشد</w:t>
      </w:r>
      <w:r w:rsidR="00061A02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لذا کلام این سه شخصیت</w:t>
      </w:r>
      <w:r w:rsidR="008D1DB4">
        <w:rPr>
          <w:rFonts w:cs="B Badr" w:hint="cs"/>
          <w:sz w:val="32"/>
          <w:szCs w:val="32"/>
          <w:rtl/>
          <w:lang w:bidi="fa-IR"/>
        </w:rPr>
        <w:t>(آخوند، امام و شهیدصدر)</w:t>
      </w:r>
      <w:r>
        <w:rPr>
          <w:rFonts w:cs="B Badr" w:hint="cs"/>
          <w:sz w:val="32"/>
          <w:szCs w:val="32"/>
          <w:rtl/>
          <w:lang w:bidi="fa-IR"/>
        </w:rPr>
        <w:t>، عال</w:t>
      </w:r>
      <w:r w:rsidR="008D1DB4">
        <w:rPr>
          <w:rFonts w:cs="B Badr" w:hint="cs"/>
          <w:sz w:val="32"/>
          <w:szCs w:val="32"/>
          <w:rtl/>
          <w:lang w:bidi="fa-IR"/>
        </w:rPr>
        <w:t>َ</w:t>
      </w:r>
      <w:r>
        <w:rPr>
          <w:rFonts w:cs="B Badr" w:hint="cs"/>
          <w:sz w:val="32"/>
          <w:szCs w:val="32"/>
          <w:rtl/>
          <w:lang w:bidi="fa-IR"/>
        </w:rPr>
        <w:t>م</w:t>
      </w:r>
      <w:r w:rsidR="008D1DB4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ثبوت</w:t>
      </w:r>
      <w:r w:rsidR="008D1DB4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اماره را توضیح داده است</w:t>
      </w:r>
      <w:r w:rsidR="008D1DB4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صدر</w:t>
      </w:r>
      <w:r w:rsidR="008D1DB4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فرمایش آخوند</w:t>
      </w:r>
      <w:r w:rsidR="008D1DB4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نظر به مرحله ی ثبوت اماره دارد</w:t>
      </w:r>
      <w:r w:rsidR="008D1DB4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حا</w:t>
      </w:r>
      <w:r w:rsidR="0081734C">
        <w:rPr>
          <w:rFonts w:cs="B Badr" w:hint="cs"/>
          <w:sz w:val="32"/>
          <w:szCs w:val="32"/>
          <w:rtl/>
          <w:lang w:bidi="fa-IR"/>
        </w:rPr>
        <w:t>ل اگر عالم</w:t>
      </w:r>
      <w:r w:rsidR="008D1DB4">
        <w:rPr>
          <w:rFonts w:cs="B Badr" w:hint="cs"/>
          <w:sz w:val="32"/>
          <w:szCs w:val="32"/>
          <w:rtl/>
          <w:lang w:bidi="fa-IR"/>
        </w:rPr>
        <w:t>ِ</w:t>
      </w:r>
      <w:r w:rsidR="0081734C">
        <w:rPr>
          <w:rFonts w:cs="B Badr" w:hint="cs"/>
          <w:sz w:val="32"/>
          <w:szCs w:val="32"/>
          <w:rtl/>
          <w:lang w:bidi="fa-IR"/>
        </w:rPr>
        <w:t xml:space="preserve"> ثبوت اماره</w:t>
      </w:r>
      <w:r w:rsidR="008D1DB4">
        <w:rPr>
          <w:rFonts w:cs="B Badr" w:hint="cs"/>
          <w:sz w:val="32"/>
          <w:szCs w:val="32"/>
          <w:rtl/>
          <w:lang w:bidi="fa-IR"/>
        </w:rPr>
        <w:t>،</w:t>
      </w:r>
      <w:r w:rsidR="0081734C">
        <w:rPr>
          <w:rFonts w:cs="B Badr" w:hint="cs"/>
          <w:sz w:val="32"/>
          <w:szCs w:val="32"/>
          <w:rtl/>
          <w:lang w:bidi="fa-IR"/>
        </w:rPr>
        <w:t xml:space="preserve"> با عناوینی همچون «احتمال، کاشفیت، حکایت و ارتکازِ عقلا» همراه باشد، واقعیتِ اماره، بدیل</w:t>
      </w:r>
      <w:r w:rsidR="008D1DB4">
        <w:rPr>
          <w:rFonts w:cs="B Badr" w:hint="cs"/>
          <w:sz w:val="32"/>
          <w:szCs w:val="32"/>
          <w:rtl/>
          <w:lang w:bidi="fa-IR"/>
        </w:rPr>
        <w:t>ِ</w:t>
      </w:r>
      <w:r w:rsidR="0081734C">
        <w:rPr>
          <w:rFonts w:cs="B Badr" w:hint="cs"/>
          <w:sz w:val="32"/>
          <w:szCs w:val="32"/>
          <w:rtl/>
          <w:lang w:bidi="fa-IR"/>
        </w:rPr>
        <w:t xml:space="preserve"> علم وجدانی می باشد</w:t>
      </w:r>
      <w:r w:rsidR="008D1DB4">
        <w:rPr>
          <w:rFonts w:cs="B Badr" w:hint="cs"/>
          <w:sz w:val="32"/>
          <w:szCs w:val="32"/>
          <w:rtl/>
          <w:lang w:bidi="fa-IR"/>
        </w:rPr>
        <w:t>؛</w:t>
      </w:r>
      <w:r w:rsidR="0081734C">
        <w:rPr>
          <w:rFonts w:cs="B Badr" w:hint="cs"/>
          <w:sz w:val="32"/>
          <w:szCs w:val="32"/>
          <w:rtl/>
          <w:lang w:bidi="fa-IR"/>
        </w:rPr>
        <w:t xml:space="preserve"> و همانطور که علم وجدانی، ذات معلوم و لوازم و ملزومات آن را حکایت می کند و میگوید که وجود علمی دارند، اماره نیز چون جایگزین علم است، این حکایت را دارد.</w:t>
      </w:r>
    </w:p>
    <w:p w:rsidR="00E67433" w:rsidRPr="00E67433" w:rsidRDefault="00E67433" w:rsidP="00E67433">
      <w:pPr>
        <w:bidi/>
        <w:rPr>
          <w:rFonts w:cs="B Badr" w:hint="cs"/>
          <w:color w:val="FF0000"/>
          <w:sz w:val="32"/>
          <w:szCs w:val="32"/>
          <w:rtl/>
          <w:lang w:bidi="fa-IR"/>
        </w:rPr>
      </w:pPr>
      <w:bookmarkStart w:id="0" w:name="_GoBack"/>
      <w:r w:rsidRPr="00E67433">
        <w:rPr>
          <w:rFonts w:cs="B Badr" w:hint="cs"/>
          <w:color w:val="FF0000"/>
          <w:sz w:val="32"/>
          <w:szCs w:val="32"/>
          <w:rtl/>
          <w:lang w:bidi="fa-IR"/>
        </w:rPr>
        <w:t>(پایان)</w:t>
      </w:r>
    </w:p>
    <w:bookmarkEnd w:id="0"/>
    <w:p w:rsidR="002173C9" w:rsidRPr="00F10DF9" w:rsidRDefault="002173C9" w:rsidP="002173C9">
      <w:pPr>
        <w:bidi/>
        <w:rPr>
          <w:rFonts w:cs="B Badr"/>
          <w:sz w:val="32"/>
          <w:szCs w:val="32"/>
          <w:lang w:bidi="fa-IR"/>
        </w:rPr>
      </w:pPr>
    </w:p>
    <w:sectPr w:rsidR="002173C9" w:rsidRPr="00F10DF9" w:rsidSect="008F7082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D42" w:rsidRDefault="00407D42" w:rsidP="00F10DF9">
      <w:r>
        <w:separator/>
      </w:r>
    </w:p>
  </w:endnote>
  <w:endnote w:type="continuationSeparator" w:id="0">
    <w:p w:rsidR="00407D42" w:rsidRDefault="00407D42" w:rsidP="00F10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D42" w:rsidRDefault="00407D42" w:rsidP="00F10DF9">
      <w:r>
        <w:separator/>
      </w:r>
    </w:p>
  </w:footnote>
  <w:footnote w:type="continuationSeparator" w:id="0">
    <w:p w:rsidR="00407D42" w:rsidRDefault="00407D42" w:rsidP="00F10DF9">
      <w:r>
        <w:continuationSeparator/>
      </w:r>
    </w:p>
  </w:footnote>
  <w:footnote w:id="1">
    <w:p w:rsidR="00FE2828" w:rsidRPr="00502FF3" w:rsidRDefault="00FE2828" w:rsidP="00502FF3">
      <w:pPr>
        <w:pStyle w:val="FootnoteText"/>
        <w:bidi/>
        <w:rPr>
          <w:rFonts w:cs="B Badr"/>
          <w:sz w:val="24"/>
          <w:szCs w:val="24"/>
          <w:rtl/>
          <w:lang w:bidi="fa-IR"/>
        </w:rPr>
      </w:pPr>
      <w:r w:rsidRPr="00502FF3">
        <w:rPr>
          <w:rStyle w:val="FootnoteReference"/>
          <w:rFonts w:cs="B Badr"/>
          <w:sz w:val="24"/>
          <w:szCs w:val="24"/>
        </w:rPr>
        <w:footnoteRef/>
      </w:r>
      <w:r w:rsidRPr="00502FF3">
        <w:rPr>
          <w:rFonts w:cs="B Badr"/>
          <w:sz w:val="24"/>
          <w:szCs w:val="24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.</w:t>
      </w:r>
      <w:r w:rsidRPr="00502FF3">
        <w:rPr>
          <w:rFonts w:cs="B Badr" w:hint="cs"/>
          <w:sz w:val="24"/>
          <w:szCs w:val="24"/>
          <w:rtl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خطبة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لأمير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المؤمنين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ع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و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هي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خطبة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الوسيلة</w:t>
      </w:r>
      <w:r w:rsidRPr="00502FF3">
        <w:rPr>
          <w:rFonts w:cs="B Badr"/>
          <w:sz w:val="24"/>
          <w:szCs w:val="24"/>
          <w:rtl/>
          <w:lang w:bidi="fa-IR"/>
        </w:rPr>
        <w:t>.</w:t>
      </w:r>
      <w:r w:rsidRPr="00502FF3">
        <w:rPr>
          <w:rFonts w:cs="B Badr" w:hint="cs"/>
          <w:sz w:val="24"/>
          <w:szCs w:val="24"/>
          <w:rtl/>
          <w:lang w:bidi="fa-IR"/>
        </w:rPr>
        <w:t>الكافي</w:t>
      </w:r>
      <w:r w:rsidRPr="00502FF3">
        <w:rPr>
          <w:rFonts w:cs="B Badr"/>
          <w:sz w:val="24"/>
          <w:szCs w:val="24"/>
          <w:rtl/>
          <w:lang w:bidi="fa-IR"/>
        </w:rPr>
        <w:t xml:space="preserve"> (</w:t>
      </w:r>
      <w:r w:rsidRPr="00502FF3">
        <w:rPr>
          <w:rFonts w:cs="B Badr" w:hint="cs"/>
          <w:sz w:val="24"/>
          <w:szCs w:val="24"/>
          <w:rtl/>
          <w:lang w:bidi="fa-IR"/>
        </w:rPr>
        <w:t>ط</w:t>
      </w:r>
      <w:r w:rsidRPr="00502FF3">
        <w:rPr>
          <w:rFonts w:cs="B Badr"/>
          <w:sz w:val="24"/>
          <w:szCs w:val="24"/>
          <w:rtl/>
          <w:lang w:bidi="fa-IR"/>
        </w:rPr>
        <w:t xml:space="preserve"> - </w:t>
      </w:r>
      <w:r w:rsidRPr="00502FF3">
        <w:rPr>
          <w:rFonts w:cs="B Badr" w:hint="cs"/>
          <w:sz w:val="24"/>
          <w:szCs w:val="24"/>
          <w:rtl/>
          <w:lang w:bidi="fa-IR"/>
        </w:rPr>
        <w:t>الإسلامية</w:t>
      </w:r>
      <w:r w:rsidRPr="00502FF3">
        <w:rPr>
          <w:rFonts w:cs="B Badr"/>
          <w:sz w:val="24"/>
          <w:szCs w:val="24"/>
          <w:rtl/>
          <w:lang w:bidi="fa-IR"/>
        </w:rPr>
        <w:t>)</w:t>
      </w:r>
      <w:r w:rsidRPr="00502FF3">
        <w:rPr>
          <w:rFonts w:cs="B Badr" w:hint="cs"/>
          <w:sz w:val="24"/>
          <w:szCs w:val="24"/>
          <w:rtl/>
          <w:lang w:bidi="fa-IR"/>
        </w:rPr>
        <w:t>،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ج‏</w:t>
      </w:r>
      <w:r w:rsidRPr="00502FF3">
        <w:rPr>
          <w:rFonts w:cs="B Badr"/>
          <w:sz w:val="24"/>
          <w:szCs w:val="24"/>
          <w:rtl/>
          <w:lang w:bidi="fa-IR"/>
        </w:rPr>
        <w:t>8</w:t>
      </w:r>
      <w:r w:rsidRPr="00502FF3">
        <w:rPr>
          <w:rFonts w:cs="B Badr" w:hint="cs"/>
          <w:sz w:val="24"/>
          <w:szCs w:val="24"/>
          <w:rtl/>
          <w:lang w:bidi="fa-IR"/>
        </w:rPr>
        <w:t>،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ص</w:t>
      </w:r>
      <w:r w:rsidRPr="00502FF3">
        <w:rPr>
          <w:rFonts w:cs="B Badr"/>
          <w:sz w:val="24"/>
          <w:szCs w:val="24"/>
          <w:rtl/>
          <w:lang w:bidi="fa-IR"/>
        </w:rPr>
        <w:t>: 18</w:t>
      </w:r>
    </w:p>
  </w:footnote>
  <w:footnote w:id="2">
    <w:p w:rsidR="00502FF3" w:rsidRPr="00502FF3" w:rsidRDefault="00502FF3" w:rsidP="00502FF3">
      <w:pPr>
        <w:pStyle w:val="FootnoteText"/>
        <w:bidi/>
        <w:rPr>
          <w:rFonts w:cs="B Badr" w:hint="cs"/>
          <w:sz w:val="24"/>
          <w:szCs w:val="24"/>
          <w:rtl/>
        </w:rPr>
      </w:pPr>
      <w:r w:rsidRPr="00502FF3">
        <w:rPr>
          <w:rStyle w:val="FootnoteReference"/>
          <w:rFonts w:cs="B Badr"/>
          <w:sz w:val="24"/>
          <w:szCs w:val="24"/>
        </w:rPr>
        <w:footnoteRef/>
      </w:r>
      <w:r w:rsidRPr="00502FF3">
        <w:rPr>
          <w:rFonts w:cs="B Badr"/>
          <w:sz w:val="24"/>
          <w:szCs w:val="24"/>
        </w:rPr>
        <w:t xml:space="preserve"> </w:t>
      </w:r>
      <w:r w:rsidRPr="00502FF3">
        <w:rPr>
          <w:rFonts w:cs="B Badr" w:hint="cs"/>
          <w:sz w:val="24"/>
          <w:szCs w:val="24"/>
          <w:rtl/>
        </w:rPr>
        <w:t>.</w:t>
      </w:r>
      <w:r w:rsidRPr="00502FF3">
        <w:rPr>
          <w:rFonts w:ascii="Traditional Arabic" w:eastAsia="Times New Roman" w:hAnsi="Traditional Arabic" w:cs="B Badr" w:hint="cs"/>
          <w:color w:val="465BFF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(التنبيه السابع)</w:t>
      </w:r>
      <w:r>
        <w:rPr>
          <w:rFonts w:cs="B Badr" w:hint="cs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قد اختلفوا في اعتبار مثبتات الأصول و عدم اعتبارها على قولين بعد الوفاق منهم ظاهراً على اعتبارها في الأمارات، و المشهور بين المتأخرين العدم و هو الأقوى خلافا لما يظهر من بعض المتقدمين‏</w:t>
      </w:r>
      <w:r>
        <w:rPr>
          <w:rFonts w:cs="B Badr" w:hint="cs"/>
          <w:sz w:val="24"/>
          <w:szCs w:val="24"/>
          <w:rtl/>
          <w:lang w:bidi="fa-IR"/>
        </w:rPr>
        <w:t>(</w:t>
      </w:r>
      <w:r w:rsidRPr="00502FF3">
        <w:rPr>
          <w:rFonts w:cs="B Badr" w:hint="cs"/>
          <w:sz w:val="24"/>
          <w:szCs w:val="24"/>
          <w:rtl/>
          <w:lang w:bidi="fa-IR"/>
        </w:rPr>
        <w:t>نهاية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الأفكار،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ج‏</w:t>
      </w:r>
      <w:r w:rsidRPr="00502FF3">
        <w:rPr>
          <w:rFonts w:cs="B Badr"/>
          <w:sz w:val="24"/>
          <w:szCs w:val="24"/>
          <w:rtl/>
          <w:lang w:bidi="fa-IR"/>
        </w:rPr>
        <w:t>4</w:t>
      </w:r>
      <w:r w:rsidRPr="00502FF3">
        <w:rPr>
          <w:rFonts w:cs="B Badr" w:hint="cs"/>
          <w:sz w:val="24"/>
          <w:szCs w:val="24"/>
          <w:rtl/>
          <w:lang w:bidi="fa-IR"/>
        </w:rPr>
        <w:t>قسم‏</w:t>
      </w:r>
      <w:r w:rsidRPr="00502FF3">
        <w:rPr>
          <w:rFonts w:cs="B Badr"/>
          <w:sz w:val="24"/>
          <w:szCs w:val="24"/>
          <w:rtl/>
          <w:lang w:bidi="fa-IR"/>
        </w:rPr>
        <w:t>1</w:t>
      </w:r>
      <w:r w:rsidRPr="00502FF3">
        <w:rPr>
          <w:rFonts w:cs="B Badr" w:hint="cs"/>
          <w:sz w:val="24"/>
          <w:szCs w:val="24"/>
          <w:rtl/>
          <w:lang w:bidi="fa-IR"/>
        </w:rPr>
        <w:t>،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ص</w:t>
      </w:r>
      <w:r w:rsidRPr="00502FF3">
        <w:rPr>
          <w:rFonts w:cs="B Badr"/>
          <w:sz w:val="24"/>
          <w:szCs w:val="24"/>
          <w:rtl/>
          <w:lang w:bidi="fa-IR"/>
        </w:rPr>
        <w:t>: 177</w:t>
      </w:r>
      <w:r>
        <w:rPr>
          <w:rFonts w:cs="B Badr" w:hint="cs"/>
          <w:sz w:val="24"/>
          <w:szCs w:val="24"/>
          <w:rtl/>
          <w:lang w:bidi="fa-IR"/>
        </w:rPr>
        <w:t>)</w:t>
      </w:r>
    </w:p>
  </w:footnote>
  <w:footnote w:id="3">
    <w:p w:rsidR="00F97472" w:rsidRPr="00502FF3" w:rsidRDefault="00F97472" w:rsidP="00502FF3">
      <w:pPr>
        <w:pStyle w:val="FootnoteText"/>
        <w:bidi/>
        <w:rPr>
          <w:rFonts w:cs="B Badr" w:hint="cs"/>
          <w:sz w:val="24"/>
          <w:szCs w:val="24"/>
          <w:rtl/>
          <w:lang w:bidi="fa-IR"/>
        </w:rPr>
      </w:pPr>
      <w:r w:rsidRPr="00502FF3">
        <w:rPr>
          <w:rStyle w:val="FootnoteReference"/>
          <w:rFonts w:cs="B Badr"/>
          <w:sz w:val="24"/>
          <w:szCs w:val="24"/>
        </w:rPr>
        <w:footnoteRef/>
      </w:r>
      <w:r w:rsidRPr="00502FF3">
        <w:rPr>
          <w:rFonts w:cs="B Badr"/>
          <w:sz w:val="24"/>
          <w:szCs w:val="24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.</w:t>
      </w:r>
      <w:r w:rsidRPr="00502FF3">
        <w:rPr>
          <w:rFonts w:cs="B Badr" w:hint="cs"/>
          <w:sz w:val="24"/>
          <w:szCs w:val="24"/>
          <w:rtl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ثمّ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لا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يخفى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وضوح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الفرق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بين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الاستصحاب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و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سائر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الاصول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التعبّديّة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و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بين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الطرق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و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الأمارات،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فإنّ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الطريق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و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الأمارة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حيث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إنّه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كما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يحكي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عن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المؤدّى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و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يشير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إليه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كذا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يحكي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عن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أطرافه</w:t>
      </w:r>
      <w:r w:rsidRPr="00502FF3">
        <w:rPr>
          <w:rFonts w:cs="B Badr"/>
          <w:sz w:val="24"/>
          <w:szCs w:val="24"/>
          <w:rtl/>
          <w:lang w:bidi="fa-IR"/>
        </w:rPr>
        <w:t xml:space="preserve">- </w:t>
      </w:r>
      <w:r w:rsidRPr="00502FF3">
        <w:rPr>
          <w:rFonts w:cs="B Badr" w:hint="cs"/>
          <w:sz w:val="24"/>
          <w:szCs w:val="24"/>
          <w:rtl/>
          <w:lang w:bidi="fa-IR"/>
        </w:rPr>
        <w:t>من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ملزومه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و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لوازمه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و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ملازماته</w:t>
      </w:r>
      <w:r w:rsidRPr="00502FF3">
        <w:rPr>
          <w:rFonts w:cs="B Badr"/>
          <w:sz w:val="24"/>
          <w:szCs w:val="24"/>
          <w:rtl/>
          <w:lang w:bidi="fa-IR"/>
        </w:rPr>
        <w:t xml:space="preserve">- </w:t>
      </w:r>
      <w:r w:rsidRPr="00502FF3">
        <w:rPr>
          <w:rFonts w:cs="B Badr" w:hint="cs"/>
          <w:sz w:val="24"/>
          <w:szCs w:val="24"/>
          <w:rtl/>
          <w:lang w:bidi="fa-IR"/>
        </w:rPr>
        <w:t>و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يشير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إليها،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كان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مقتضى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إطلاق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دليل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اعتبارها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لزوم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تصديقها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في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حكايتها،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و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قضيّته</w:t>
      </w:r>
      <w:r w:rsidRPr="00502FF3">
        <w:rPr>
          <w:rFonts w:cs="B Badr"/>
          <w:sz w:val="24"/>
          <w:szCs w:val="24"/>
          <w:rtl/>
          <w:lang w:bidi="fa-IR"/>
        </w:rPr>
        <w:t xml:space="preserve"> (1) </w:t>
      </w:r>
      <w:r w:rsidRPr="00502FF3">
        <w:rPr>
          <w:rFonts w:cs="B Badr" w:hint="cs"/>
          <w:sz w:val="24"/>
          <w:szCs w:val="24"/>
          <w:rtl/>
          <w:lang w:bidi="fa-IR"/>
        </w:rPr>
        <w:t>حجّيّة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المثبت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منها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كما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لا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يخفى؛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بخلاف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مثل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دليل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الاستصحاب،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فإنّه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لا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بدّ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من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الاقتصار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بما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فيه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من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الدلالة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على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التعبّد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بثبوته،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و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لا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دلالة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له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إلّا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على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التعبّد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بثبوت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المشكوك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بلحاظ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أثره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حسبما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عرفت،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فلا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دلالة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له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على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اعتبار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المثبت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منه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كسائر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الاصول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التعبّديّة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إلّا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فيما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عدّ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أثر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الواسطة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أثرا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له،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لخفائها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أو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لشدّة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وضوحها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و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جلائها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حسبماحققناه.</w:t>
      </w:r>
      <w:r w:rsidRPr="00502FF3">
        <w:rPr>
          <w:rFonts w:cs="B Badr"/>
          <w:sz w:val="24"/>
          <w:szCs w:val="24"/>
          <w:rtl/>
          <w:lang w:bidi="fa-IR"/>
        </w:rPr>
        <w:t xml:space="preserve">                        </w:t>
      </w:r>
      <w:r w:rsidR="005B1306" w:rsidRPr="00502FF3">
        <w:rPr>
          <w:rFonts w:cs="B Badr" w:hint="cs"/>
          <w:sz w:val="24"/>
          <w:szCs w:val="24"/>
          <w:rtl/>
          <w:lang w:bidi="fa-IR"/>
        </w:rPr>
        <w:t>(</w:t>
      </w:r>
      <w:r w:rsidRPr="00502FF3">
        <w:rPr>
          <w:rFonts w:cs="B Badr" w:hint="cs"/>
          <w:sz w:val="24"/>
          <w:szCs w:val="24"/>
          <w:rtl/>
          <w:lang w:bidi="fa-IR"/>
        </w:rPr>
        <w:t>كفاية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الأصول</w:t>
      </w:r>
      <w:r w:rsidRPr="00502FF3">
        <w:rPr>
          <w:rFonts w:cs="B Badr"/>
          <w:sz w:val="24"/>
          <w:szCs w:val="24"/>
          <w:rtl/>
          <w:lang w:bidi="fa-IR"/>
        </w:rPr>
        <w:t xml:space="preserve"> ( </w:t>
      </w:r>
      <w:r w:rsidRPr="00502FF3">
        <w:rPr>
          <w:rFonts w:cs="B Badr" w:hint="cs"/>
          <w:sz w:val="24"/>
          <w:szCs w:val="24"/>
          <w:rtl/>
          <w:lang w:bidi="fa-IR"/>
        </w:rPr>
        <w:t>با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تعليقه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زارعى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سبزوارى</w:t>
      </w:r>
      <w:r w:rsidRPr="00502FF3">
        <w:rPr>
          <w:rFonts w:cs="B Badr"/>
          <w:sz w:val="24"/>
          <w:szCs w:val="24"/>
          <w:rtl/>
          <w:lang w:bidi="fa-IR"/>
        </w:rPr>
        <w:t xml:space="preserve"> )</w:t>
      </w:r>
      <w:r w:rsidRPr="00502FF3">
        <w:rPr>
          <w:rFonts w:cs="B Badr" w:hint="cs"/>
          <w:sz w:val="24"/>
          <w:szCs w:val="24"/>
          <w:rtl/>
          <w:lang w:bidi="fa-IR"/>
        </w:rPr>
        <w:t>،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ج‏</w:t>
      </w:r>
      <w:r w:rsidRPr="00502FF3">
        <w:rPr>
          <w:rFonts w:cs="B Badr"/>
          <w:sz w:val="24"/>
          <w:szCs w:val="24"/>
          <w:rtl/>
          <w:lang w:bidi="fa-IR"/>
        </w:rPr>
        <w:t>3</w:t>
      </w:r>
      <w:r w:rsidRPr="00502FF3">
        <w:rPr>
          <w:rFonts w:cs="B Badr" w:hint="cs"/>
          <w:sz w:val="24"/>
          <w:szCs w:val="24"/>
          <w:rtl/>
          <w:lang w:bidi="fa-IR"/>
        </w:rPr>
        <w:t>،</w:t>
      </w:r>
      <w:r w:rsidRPr="00502FF3">
        <w:rPr>
          <w:rFonts w:cs="B Badr"/>
          <w:sz w:val="24"/>
          <w:szCs w:val="24"/>
          <w:rtl/>
          <w:lang w:bidi="fa-IR"/>
        </w:rPr>
        <w:t xml:space="preserve"> </w:t>
      </w:r>
      <w:r w:rsidRPr="00502FF3">
        <w:rPr>
          <w:rFonts w:cs="B Badr" w:hint="cs"/>
          <w:sz w:val="24"/>
          <w:szCs w:val="24"/>
          <w:rtl/>
          <w:lang w:bidi="fa-IR"/>
        </w:rPr>
        <w:t>ص</w:t>
      </w:r>
      <w:r w:rsidRPr="00502FF3">
        <w:rPr>
          <w:rFonts w:cs="B Badr"/>
          <w:sz w:val="24"/>
          <w:szCs w:val="24"/>
          <w:rtl/>
          <w:lang w:bidi="fa-IR"/>
        </w:rPr>
        <w:t>: 243</w:t>
      </w:r>
      <w:r w:rsidR="005B1306" w:rsidRPr="00502FF3">
        <w:rPr>
          <w:rFonts w:cs="B Badr" w:hint="cs"/>
          <w:sz w:val="24"/>
          <w:szCs w:val="24"/>
          <w:rtl/>
          <w:lang w:bidi="fa-IR"/>
        </w:rPr>
        <w:t>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082"/>
    <w:rsid w:val="000445AA"/>
    <w:rsid w:val="00061A02"/>
    <w:rsid w:val="002173C9"/>
    <w:rsid w:val="002345C4"/>
    <w:rsid w:val="00257C43"/>
    <w:rsid w:val="00407D42"/>
    <w:rsid w:val="004D4352"/>
    <w:rsid w:val="00502FF3"/>
    <w:rsid w:val="005B1306"/>
    <w:rsid w:val="00761FF3"/>
    <w:rsid w:val="007D66EB"/>
    <w:rsid w:val="007F6ACF"/>
    <w:rsid w:val="0081734C"/>
    <w:rsid w:val="00880BD2"/>
    <w:rsid w:val="008D1DB4"/>
    <w:rsid w:val="008F7082"/>
    <w:rsid w:val="009B4DC8"/>
    <w:rsid w:val="009C1C69"/>
    <w:rsid w:val="009C3297"/>
    <w:rsid w:val="00A71F8A"/>
    <w:rsid w:val="00B751CD"/>
    <w:rsid w:val="00CB4334"/>
    <w:rsid w:val="00DD6E4F"/>
    <w:rsid w:val="00E67433"/>
    <w:rsid w:val="00ED52D8"/>
    <w:rsid w:val="00F10DF9"/>
    <w:rsid w:val="00F97472"/>
    <w:rsid w:val="00FE2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10DF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10DF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10DF9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502FF3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10DF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10DF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10DF9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502FF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6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18</cp:revision>
  <dcterms:created xsi:type="dcterms:W3CDTF">2019-03-06T02:33:00Z</dcterms:created>
  <dcterms:modified xsi:type="dcterms:W3CDTF">2019-03-06T05:09:00Z</dcterms:modified>
</cp:coreProperties>
</file>